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5FAD" w14:textId="216224F6" w:rsidR="00CC3E7F" w:rsidRPr="00E414C4" w:rsidRDefault="00CC3E7F" w:rsidP="00CC3E7F">
      <w:pPr>
        <w:pStyle w:val="NormalWeb"/>
        <w:spacing w:before="240" w:beforeAutospacing="0" w:after="0" w:afterAutospacing="0" w:line="360" w:lineRule="exact"/>
        <w:rPr>
          <w:rFonts w:ascii="Avenir Book" w:hAnsi="Avenir Book"/>
          <w:b/>
          <w:bCs/>
          <w:color w:val="333333"/>
          <w:sz w:val="36"/>
          <w:szCs w:val="36"/>
        </w:rPr>
      </w:pPr>
      <w:r w:rsidRPr="00E414C4">
        <w:rPr>
          <w:rFonts w:ascii="Avenir Book" w:hAnsi="Avenir Book"/>
          <w:b/>
          <w:bCs/>
          <w:color w:val="333333"/>
          <w:sz w:val="36"/>
          <w:szCs w:val="36"/>
        </w:rPr>
        <w:t>We’re writing habitational risks in Maryland</w:t>
      </w:r>
    </w:p>
    <w:p w14:paraId="2FEBF0CC" w14:textId="0460C551" w:rsidR="00CC3E7F" w:rsidRDefault="00CC3E7F" w:rsidP="00CC3E7F">
      <w:pPr>
        <w:pStyle w:val="NormalWeb"/>
        <w:spacing w:before="240" w:beforeAutospacing="0" w:after="0" w:afterAutospacing="0" w:line="360" w:lineRule="exact"/>
        <w:rPr>
          <w:rFonts w:ascii="Avenir Book" w:hAnsi="Avenir Book"/>
          <w:color w:val="333333"/>
          <w:sz w:val="24"/>
          <w:szCs w:val="24"/>
        </w:rPr>
      </w:pPr>
      <w:r>
        <w:rPr>
          <w:rFonts w:ascii="Avenir Book" w:hAnsi="Avenir Book"/>
          <w:color w:val="333333"/>
          <w:sz w:val="24"/>
          <w:szCs w:val="24"/>
        </w:rPr>
        <w:t xml:space="preserve">As </w:t>
      </w:r>
      <w:r w:rsidR="00FF046D">
        <w:rPr>
          <w:rFonts w:ascii="Avenir Book" w:hAnsi="Avenir Book"/>
          <w:color w:val="333333"/>
          <w:sz w:val="24"/>
          <w:szCs w:val="24"/>
        </w:rPr>
        <w:t>o</w:t>
      </w:r>
      <w:r>
        <w:rPr>
          <w:rFonts w:ascii="Avenir Book" w:hAnsi="Avenir Book"/>
          <w:color w:val="333333"/>
          <w:sz w:val="24"/>
          <w:szCs w:val="24"/>
        </w:rPr>
        <w:t>f October 1, 2021, MBG expanded its commercial lines appetite to include writing habitational risks for BOP and CPP in the state of Maryland.</w:t>
      </w:r>
    </w:p>
    <w:p w14:paraId="58054355" w14:textId="45754BDA" w:rsidR="00CC3E7F" w:rsidRDefault="00CC3E7F" w:rsidP="00CC3E7F">
      <w:pPr>
        <w:pStyle w:val="NormalWeb"/>
        <w:spacing w:before="240" w:beforeAutospacing="0" w:after="0" w:afterAutospacing="0" w:line="360" w:lineRule="exact"/>
        <w:rPr>
          <w:rFonts w:ascii="Avenir Book" w:hAnsi="Avenir Book"/>
          <w:color w:val="333333"/>
          <w:sz w:val="24"/>
          <w:szCs w:val="24"/>
        </w:rPr>
      </w:pPr>
      <w:r>
        <w:rPr>
          <w:rFonts w:ascii="Avenir Book" w:hAnsi="Avenir Book"/>
          <w:color w:val="333333"/>
          <w:sz w:val="24"/>
          <w:szCs w:val="24"/>
        </w:rPr>
        <w:t xml:space="preserve">Previously, our appetite guide listed habitational risks as eligible only in Pennsylvania. </w:t>
      </w:r>
    </w:p>
    <w:p w14:paraId="3CF70A81" w14:textId="42659C6A" w:rsidR="00CC3E7F" w:rsidRDefault="00CC3E7F" w:rsidP="00CC3E7F">
      <w:pPr>
        <w:pStyle w:val="NormalWeb"/>
        <w:spacing w:before="240" w:beforeAutospacing="0" w:after="0" w:afterAutospacing="0" w:line="360" w:lineRule="exact"/>
        <w:rPr>
          <w:rFonts w:ascii="Avenir Book" w:hAnsi="Avenir Book"/>
          <w:color w:val="333333"/>
          <w:sz w:val="24"/>
          <w:szCs w:val="24"/>
        </w:rPr>
      </w:pPr>
      <w:r>
        <w:rPr>
          <w:rFonts w:ascii="Avenir Book" w:hAnsi="Avenir Book"/>
          <w:color w:val="333333"/>
          <w:sz w:val="24"/>
          <w:szCs w:val="24"/>
        </w:rPr>
        <w:t>Click the</w:t>
      </w:r>
      <w:r w:rsidR="00FA0C5B">
        <w:rPr>
          <w:rFonts w:ascii="Avenir Book" w:hAnsi="Avenir Book"/>
          <w:color w:val="333333"/>
          <w:sz w:val="24"/>
          <w:szCs w:val="24"/>
        </w:rPr>
        <w:t>se</w:t>
      </w:r>
      <w:r>
        <w:rPr>
          <w:rFonts w:ascii="Avenir Book" w:hAnsi="Avenir Book"/>
          <w:color w:val="333333"/>
          <w:sz w:val="24"/>
          <w:szCs w:val="24"/>
        </w:rPr>
        <w:t xml:space="preserve"> links to </w:t>
      </w:r>
      <w:r w:rsidR="00FA0C5B">
        <w:rPr>
          <w:rFonts w:ascii="Avenir Book" w:hAnsi="Avenir Book"/>
          <w:color w:val="333333"/>
          <w:sz w:val="24"/>
          <w:szCs w:val="24"/>
        </w:rPr>
        <w:t>view</w:t>
      </w:r>
      <w:r>
        <w:rPr>
          <w:rFonts w:ascii="Avenir Book" w:hAnsi="Avenir Book"/>
          <w:color w:val="333333"/>
          <w:sz w:val="24"/>
          <w:szCs w:val="24"/>
        </w:rPr>
        <w:t xml:space="preserve"> cop</w:t>
      </w:r>
      <w:r w:rsidR="00FA0C5B">
        <w:rPr>
          <w:rFonts w:ascii="Avenir Book" w:hAnsi="Avenir Book"/>
          <w:color w:val="333333"/>
          <w:sz w:val="24"/>
          <w:szCs w:val="24"/>
        </w:rPr>
        <w:t>ies</w:t>
      </w:r>
      <w:r>
        <w:rPr>
          <w:rFonts w:ascii="Avenir Book" w:hAnsi="Avenir Book"/>
          <w:color w:val="333333"/>
          <w:sz w:val="24"/>
          <w:szCs w:val="24"/>
        </w:rPr>
        <w:t xml:space="preserve"> of the underwriting guidelines, as well as the Habitational Supplemental Application (CL00031012) that needs to be fully completed to obtain a quote. This supplemental application is also available on </w:t>
      </w:r>
      <w:r w:rsidR="00FF046D">
        <w:rPr>
          <w:rFonts w:ascii="Avenir Book" w:hAnsi="Avenir Book"/>
          <w:color w:val="333333"/>
          <w:sz w:val="24"/>
          <w:szCs w:val="24"/>
        </w:rPr>
        <w:t>www.mbga</w:t>
      </w:r>
      <w:r>
        <w:rPr>
          <w:rFonts w:ascii="Avenir Book" w:hAnsi="Avenir Book"/>
          <w:color w:val="333333"/>
          <w:sz w:val="24"/>
          <w:szCs w:val="24"/>
        </w:rPr>
        <w:t>gents.com in the forms library.</w:t>
      </w:r>
    </w:p>
    <w:p w14:paraId="4B33FD4C" w14:textId="7ABF109F" w:rsidR="00FA0C5B" w:rsidRPr="00FA0C5B" w:rsidRDefault="00FA0C5B" w:rsidP="00FA0C5B">
      <w:pPr>
        <w:pStyle w:val="NormalWeb"/>
        <w:spacing w:before="240" w:beforeAutospacing="0" w:after="0" w:afterAutospacing="0"/>
        <w:rPr>
          <w:rFonts w:ascii="Avenir Book" w:hAnsi="Avenir Book"/>
          <w:color w:val="0000FF"/>
          <w:sz w:val="24"/>
          <w:szCs w:val="24"/>
          <w:u w:val="single"/>
        </w:rPr>
      </w:pPr>
      <w:r w:rsidRPr="00FA0C5B">
        <w:rPr>
          <w:rFonts w:ascii="Avenir Book" w:hAnsi="Avenir Book"/>
          <w:color w:val="0000FF"/>
          <w:sz w:val="24"/>
          <w:szCs w:val="24"/>
          <w:u w:val="single"/>
        </w:rPr>
        <w:t>Underwriting Guidelines for Habitational Risks in Maryland</w:t>
      </w:r>
    </w:p>
    <w:p w14:paraId="0EED8CD1" w14:textId="781B2B25" w:rsidR="00FA0C5B" w:rsidRPr="00FA0C5B" w:rsidRDefault="00FA0C5B" w:rsidP="00FA0C5B">
      <w:pPr>
        <w:pStyle w:val="NormalWeb"/>
        <w:spacing w:before="0" w:beforeAutospacing="0" w:after="0" w:afterAutospacing="0"/>
        <w:rPr>
          <w:rFonts w:ascii="Avenir Book" w:hAnsi="Avenir Book"/>
          <w:color w:val="0000FF"/>
          <w:sz w:val="24"/>
          <w:szCs w:val="24"/>
          <w:u w:val="single"/>
        </w:rPr>
      </w:pPr>
      <w:r w:rsidRPr="00FA0C5B">
        <w:rPr>
          <w:rFonts w:ascii="Avenir Book" w:hAnsi="Avenir Book"/>
          <w:color w:val="0000FF"/>
          <w:sz w:val="24"/>
          <w:szCs w:val="24"/>
          <w:u w:val="single"/>
        </w:rPr>
        <w:t>Habitational Supplemental Application</w:t>
      </w:r>
    </w:p>
    <w:p w14:paraId="6C5AD845" w14:textId="530675A0" w:rsidR="00CC3E7F" w:rsidRDefault="00CC3E7F" w:rsidP="00CC3E7F">
      <w:pPr>
        <w:pStyle w:val="NormalWeb"/>
        <w:spacing w:before="240" w:beforeAutospacing="0" w:after="0" w:afterAutospacing="0" w:line="360" w:lineRule="exact"/>
        <w:rPr>
          <w:rFonts w:ascii="Avenir Book" w:hAnsi="Avenir Book"/>
          <w:color w:val="333333"/>
        </w:rPr>
      </w:pPr>
      <w:r>
        <w:rPr>
          <w:rFonts w:ascii="Avenir Book" w:hAnsi="Avenir Book"/>
          <w:color w:val="333333"/>
          <w:sz w:val="24"/>
          <w:szCs w:val="24"/>
        </w:rPr>
        <w:t>We</w:t>
      </w:r>
      <w:r w:rsidR="00E414C4">
        <w:rPr>
          <w:rFonts w:ascii="Avenir Book" w:hAnsi="Avenir Book"/>
          <w:color w:val="333333"/>
          <w:sz w:val="24"/>
          <w:szCs w:val="24"/>
        </w:rPr>
        <w:t>’re pleased to work with you t</w:t>
      </w:r>
      <w:r>
        <w:rPr>
          <w:rFonts w:ascii="Avenir Book" w:hAnsi="Avenir Book"/>
          <w:color w:val="333333"/>
          <w:sz w:val="24"/>
          <w:szCs w:val="24"/>
        </w:rPr>
        <w:t>o provide your clients with this protection for Maryland habitational risks.</w:t>
      </w:r>
    </w:p>
    <w:p w14:paraId="7427ADFF" w14:textId="77777777" w:rsidR="00CC3E7F" w:rsidRDefault="00CC3E7F" w:rsidP="00CC3E7F">
      <w:pPr>
        <w:rPr>
          <w:rFonts w:ascii="Avenir Book" w:hAnsi="Avenir Book"/>
          <w:color w:val="333333"/>
        </w:rPr>
      </w:pPr>
    </w:p>
    <w:p w14:paraId="0E7A0DEA" w14:textId="77777777" w:rsidR="00C0103D" w:rsidRDefault="00C0103D"/>
    <w:sectPr w:rsidR="00C0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F"/>
    <w:rsid w:val="00C0103D"/>
    <w:rsid w:val="00CC3E7F"/>
    <w:rsid w:val="00E414C4"/>
    <w:rsid w:val="00FA0C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F6D"/>
  <w15:chartTrackingRefBased/>
  <w15:docId w15:val="{62188647-8008-4330-A21D-A323955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E7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Amy Miller</cp:lastModifiedBy>
  <cp:revision>3</cp:revision>
  <dcterms:created xsi:type="dcterms:W3CDTF">2021-12-27T18:34:00Z</dcterms:created>
  <dcterms:modified xsi:type="dcterms:W3CDTF">2021-12-28T17:45:00Z</dcterms:modified>
</cp:coreProperties>
</file>